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30" w:rsidRPr="00C07628" w:rsidRDefault="00477D30" w:rsidP="00477D3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BEAUJOLAIS: </w:t>
      </w:r>
      <w:r w:rsidRPr="00C07628">
        <w:rPr>
          <w:b/>
          <w:u w:val="single"/>
          <w:lang w:val="en-US"/>
        </w:rPr>
        <w:t>A TASTE FOR ALL OCCASIONS</w:t>
      </w:r>
    </w:p>
    <w:p w:rsidR="00EA16F4" w:rsidRPr="00572024" w:rsidRDefault="00EA16F4" w:rsidP="00EA16F4">
      <w:pPr>
        <w:ind w:right="-1"/>
        <w:jc w:val="center"/>
        <w:rPr>
          <w:sz w:val="26"/>
          <w:szCs w:val="26"/>
          <w:lang w:val="en-US"/>
        </w:rPr>
      </w:pPr>
    </w:p>
    <w:p w:rsidR="00EA16F4" w:rsidRPr="00572024" w:rsidRDefault="00EA16F4" w:rsidP="00EA16F4">
      <w:pPr>
        <w:ind w:right="-1"/>
        <w:jc w:val="center"/>
        <w:rPr>
          <w:sz w:val="26"/>
          <w:szCs w:val="26"/>
          <w:lang w:val="en-US"/>
        </w:rPr>
      </w:pPr>
    </w:p>
    <w:p w:rsidR="00CE5392" w:rsidRDefault="00CE5392" w:rsidP="00CE5392">
      <w:pPr>
        <w:ind w:firstLine="284"/>
        <w:jc w:val="both"/>
        <w:rPr>
          <w:lang w:val="en-US"/>
        </w:rPr>
      </w:pPr>
      <w:r w:rsidRPr="00CE5392">
        <w:rPr>
          <w:i/>
          <w:i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971800" cy="2085975"/>
            <wp:effectExtent l="19050" t="0" r="0" b="0"/>
            <wp:wrapTight wrapText="bothSides">
              <wp:wrapPolygon edited="0">
                <wp:start x="-138" y="0"/>
                <wp:lineTo x="-138" y="21501"/>
                <wp:lineTo x="21600" y="21501"/>
                <wp:lineTo x="21600" y="0"/>
                <wp:lineTo x="-13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jolai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0A6">
        <w:rPr>
          <w:lang w:val="en-US"/>
        </w:rPr>
        <w:t xml:space="preserve">The region of </w:t>
      </w:r>
      <w:r w:rsidRPr="00FC20A6">
        <w:rPr>
          <w:b/>
          <w:lang w:val="en-US"/>
        </w:rPr>
        <w:t xml:space="preserve">Beaujolais </w:t>
      </w:r>
      <w:r w:rsidRPr="00FC20A6">
        <w:rPr>
          <w:lang w:val="en-US"/>
        </w:rPr>
        <w:t>produces some of the most appealing and accessible wines anywhere in France and indeed, the world. Whether you’re in the mood for a light and easy drinking Beaujolais to enjoy when the sun is shining, or a more full-bodied Beaujolais Cru to partner roasted meats on a chilly winter’s day, the wines are just as welcoming as the people who carefully craft them</w:t>
      </w:r>
      <w:r>
        <w:rPr>
          <w:lang w:val="en-US"/>
        </w:rPr>
        <w:t>.</w:t>
      </w:r>
    </w:p>
    <w:p w:rsidR="00CE5392" w:rsidRDefault="00CE5392" w:rsidP="00CE5392">
      <w:pPr>
        <w:ind w:firstLine="284"/>
        <w:jc w:val="both"/>
        <w:rPr>
          <w:lang w:val="en-US"/>
        </w:rPr>
      </w:pPr>
    </w:p>
    <w:p w:rsidR="00CE5392" w:rsidRDefault="00CE5392" w:rsidP="00CE5392">
      <w:pPr>
        <w:ind w:right="-1" w:firstLine="284"/>
        <w:jc w:val="both"/>
        <w:rPr>
          <w:lang w:val="en-US"/>
        </w:rPr>
      </w:pPr>
      <w:r w:rsidRPr="00FC20A6">
        <w:rPr>
          <w:lang w:val="en-US"/>
        </w:rPr>
        <w:t>Within the Beaujolais appellation there are Beaujolais (for both red and white wines),</w:t>
      </w:r>
    </w:p>
    <w:p w:rsidR="00CE5392" w:rsidRDefault="00CE5392" w:rsidP="00CE5392">
      <w:pPr>
        <w:jc w:val="both"/>
        <w:rPr>
          <w:lang w:val="en-US"/>
        </w:rPr>
      </w:pPr>
      <w:proofErr w:type="gramStart"/>
      <w:r w:rsidRPr="00FC20A6">
        <w:rPr>
          <w:lang w:val="en-US"/>
        </w:rPr>
        <w:t xml:space="preserve">Beaujolais-Villages and then ten Cru villages which are indexed by their </w:t>
      </w:r>
      <w:proofErr w:type="spellStart"/>
      <w:r w:rsidRPr="00FC20A6">
        <w:rPr>
          <w:lang w:val="en-US"/>
        </w:rPr>
        <w:t>terroirs</w:t>
      </w:r>
      <w:proofErr w:type="spellEnd"/>
      <w:r w:rsidRPr="00FC20A6">
        <w:rPr>
          <w:lang w:val="en-US"/>
        </w:rPr>
        <w:t>.</w:t>
      </w:r>
      <w:proofErr w:type="gramEnd"/>
    </w:p>
    <w:p w:rsidR="00CE5392" w:rsidRPr="00FC20A6" w:rsidRDefault="00CE5392" w:rsidP="00CE5392">
      <w:pPr>
        <w:jc w:val="both"/>
        <w:rPr>
          <w:lang w:val="en-US"/>
        </w:rPr>
      </w:pPr>
    </w:p>
    <w:p w:rsidR="00CE5392" w:rsidRDefault="00CE5392" w:rsidP="00CE5392">
      <w:pPr>
        <w:ind w:firstLine="284"/>
        <w:jc w:val="both"/>
        <w:rPr>
          <w:lang w:val="en-US"/>
        </w:rPr>
      </w:pPr>
      <w:r w:rsidRPr="00FC20A6">
        <w:rPr>
          <w:lang w:val="en-US"/>
        </w:rPr>
        <w:t xml:space="preserve">They include “soft and juicy” </w:t>
      </w:r>
      <w:proofErr w:type="spellStart"/>
      <w:r w:rsidRPr="00FC20A6">
        <w:rPr>
          <w:lang w:val="en-US"/>
        </w:rPr>
        <w:t>Chiroubles</w:t>
      </w:r>
      <w:proofErr w:type="spellEnd"/>
      <w:r w:rsidRPr="00FC20A6">
        <w:rPr>
          <w:lang w:val="en-US"/>
        </w:rPr>
        <w:t xml:space="preserve"> and </w:t>
      </w:r>
      <w:proofErr w:type="spellStart"/>
      <w:r w:rsidRPr="00FC20A6">
        <w:rPr>
          <w:lang w:val="en-US"/>
        </w:rPr>
        <w:t>Régnié</w:t>
      </w:r>
      <w:proofErr w:type="spellEnd"/>
      <w:r w:rsidRPr="00FC20A6">
        <w:rPr>
          <w:lang w:val="en-US"/>
        </w:rPr>
        <w:t xml:space="preserve">, “tender” </w:t>
      </w:r>
      <w:proofErr w:type="spellStart"/>
      <w:r w:rsidRPr="00FC20A6">
        <w:rPr>
          <w:lang w:val="en-US"/>
        </w:rPr>
        <w:t>Fleurie</w:t>
      </w:r>
      <w:proofErr w:type="spellEnd"/>
      <w:r w:rsidRPr="00FC20A6">
        <w:rPr>
          <w:lang w:val="en-US"/>
        </w:rPr>
        <w:t xml:space="preserve">, Saint Amour and </w:t>
      </w:r>
      <w:proofErr w:type="spellStart"/>
      <w:r w:rsidRPr="00FC20A6">
        <w:rPr>
          <w:lang w:val="en-US"/>
        </w:rPr>
        <w:t>Brouilly</w:t>
      </w:r>
      <w:proofErr w:type="spellEnd"/>
      <w:r w:rsidRPr="00FC20A6">
        <w:rPr>
          <w:lang w:val="en-US"/>
        </w:rPr>
        <w:t xml:space="preserve">, and “robust” Côte de </w:t>
      </w:r>
      <w:proofErr w:type="spellStart"/>
      <w:r w:rsidRPr="00FC20A6">
        <w:rPr>
          <w:lang w:val="en-US"/>
        </w:rPr>
        <w:t>Brouilly</w:t>
      </w:r>
      <w:proofErr w:type="spellEnd"/>
      <w:r w:rsidRPr="00FC20A6">
        <w:rPr>
          <w:lang w:val="en-US"/>
        </w:rPr>
        <w:t xml:space="preserve">, </w:t>
      </w:r>
      <w:proofErr w:type="spellStart"/>
      <w:r w:rsidRPr="00FC20A6">
        <w:rPr>
          <w:lang w:val="en-US"/>
        </w:rPr>
        <w:t>Juliénas</w:t>
      </w:r>
      <w:proofErr w:type="spellEnd"/>
      <w:r w:rsidRPr="00FC20A6">
        <w:rPr>
          <w:lang w:val="en-US"/>
        </w:rPr>
        <w:t xml:space="preserve">, </w:t>
      </w:r>
      <w:proofErr w:type="spellStart"/>
      <w:r w:rsidRPr="00FC20A6">
        <w:rPr>
          <w:lang w:val="en-US"/>
        </w:rPr>
        <w:t>Chénas</w:t>
      </w:r>
      <w:proofErr w:type="spellEnd"/>
      <w:r w:rsidRPr="00FC20A6">
        <w:rPr>
          <w:lang w:val="en-US"/>
        </w:rPr>
        <w:t xml:space="preserve">, </w:t>
      </w:r>
      <w:proofErr w:type="spellStart"/>
      <w:r w:rsidRPr="00FC20A6">
        <w:rPr>
          <w:lang w:val="en-US"/>
        </w:rPr>
        <w:t>Morgon</w:t>
      </w:r>
      <w:proofErr w:type="spellEnd"/>
      <w:r w:rsidRPr="00FC20A6">
        <w:rPr>
          <w:lang w:val="en-US"/>
        </w:rPr>
        <w:t xml:space="preserve"> and Moulin-à-Vent are characterized by their red fruit aromas and </w:t>
      </w:r>
      <w:proofErr w:type="spellStart"/>
      <w:r w:rsidRPr="00FC20A6">
        <w:rPr>
          <w:lang w:val="en-US"/>
        </w:rPr>
        <w:t>flavours</w:t>
      </w:r>
      <w:proofErr w:type="spellEnd"/>
      <w:r w:rsidRPr="00FC20A6">
        <w:rPr>
          <w:lang w:val="en-US"/>
        </w:rPr>
        <w:t xml:space="preserve"> of redcurrant and spice. An intense length in the mouth is unveiled once the wines have “done their Easter duty”, and have made the most of maturing for a few months before bottling.</w:t>
      </w:r>
    </w:p>
    <w:p w:rsidR="00CE5392" w:rsidRPr="00FC20A6" w:rsidRDefault="00CE5392" w:rsidP="00CE5392">
      <w:pPr>
        <w:ind w:firstLine="284"/>
        <w:jc w:val="both"/>
        <w:rPr>
          <w:lang w:val="en-US"/>
        </w:rPr>
      </w:pPr>
    </w:p>
    <w:p w:rsidR="00CE5392" w:rsidRDefault="00CE5392" w:rsidP="00CE5392">
      <w:pPr>
        <w:ind w:firstLine="284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1282700</wp:posOffset>
            </wp:positionV>
            <wp:extent cx="1558925" cy="2295525"/>
            <wp:effectExtent l="19050" t="0" r="3175" b="0"/>
            <wp:wrapTight wrapText="bothSides">
              <wp:wrapPolygon edited="0">
                <wp:start x="-264" y="0"/>
                <wp:lineTo x="-264" y="21510"/>
                <wp:lineTo x="21644" y="21510"/>
                <wp:lineTo x="21644" y="0"/>
                <wp:lineTo x="-264" y="0"/>
              </wp:wrapPolygon>
            </wp:wrapTight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jolai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0A6">
        <w:rPr>
          <w:lang w:val="en-US"/>
        </w:rPr>
        <w:t xml:space="preserve">The key to these diverse reds is in the grape: </w:t>
      </w:r>
      <w:proofErr w:type="spellStart"/>
      <w:r w:rsidRPr="00FC20A6">
        <w:rPr>
          <w:b/>
          <w:lang w:val="en-US"/>
        </w:rPr>
        <w:t>Gamay</w:t>
      </w:r>
      <w:proofErr w:type="spellEnd"/>
      <w:r w:rsidRPr="00FC20A6">
        <w:rPr>
          <w:lang w:val="en-US"/>
        </w:rPr>
        <w:t>. Growing in the Beaujolais region since the beginning of 17</w:t>
      </w:r>
      <w:r w:rsidRPr="00FC20A6">
        <w:rPr>
          <w:vertAlign w:val="superscript"/>
          <w:lang w:val="en-US"/>
        </w:rPr>
        <w:t>th</w:t>
      </w:r>
      <w:r w:rsidRPr="00FC20A6">
        <w:rPr>
          <w:lang w:val="en-US"/>
        </w:rPr>
        <w:t xml:space="preserve"> century, this variety has accompanied the region during the evolution of the vineyards and collective </w:t>
      </w:r>
      <w:proofErr w:type="spellStart"/>
      <w:r w:rsidRPr="00FC20A6">
        <w:rPr>
          <w:lang w:val="en-US"/>
        </w:rPr>
        <w:t>vinegrowing</w:t>
      </w:r>
      <w:proofErr w:type="spellEnd"/>
      <w:r w:rsidRPr="00FC20A6">
        <w:rPr>
          <w:lang w:val="en-US"/>
        </w:rPr>
        <w:t xml:space="preserve"> tradition. And it is, of course, on the Beaujolais’ limestone-clay and granitic soils that this plant has found its true home. Nearly 70% of the 36 000 hectares of land planted with </w:t>
      </w:r>
      <w:proofErr w:type="spellStart"/>
      <w:r w:rsidRPr="00FC20A6">
        <w:rPr>
          <w:lang w:val="en-US"/>
        </w:rPr>
        <w:t>Gamay</w:t>
      </w:r>
      <w:proofErr w:type="spellEnd"/>
      <w:r w:rsidRPr="00FC20A6">
        <w:rPr>
          <w:lang w:val="en-US"/>
        </w:rPr>
        <w:t xml:space="preserve"> throughout the world is in Beaujolais.</w:t>
      </w:r>
    </w:p>
    <w:p w:rsidR="00CE5392" w:rsidRPr="00FC20A6" w:rsidRDefault="00CE5392" w:rsidP="00CE5392">
      <w:pPr>
        <w:jc w:val="both"/>
        <w:rPr>
          <w:lang w:val="en-US"/>
        </w:rPr>
      </w:pPr>
    </w:p>
    <w:p w:rsidR="00CE5392" w:rsidRDefault="00CE5392" w:rsidP="00CE5392">
      <w:pPr>
        <w:ind w:firstLine="284"/>
        <w:jc w:val="both"/>
        <w:rPr>
          <w:lang w:val="en-US"/>
        </w:rPr>
      </w:pPr>
      <w:r w:rsidRPr="00FC20A6">
        <w:rPr>
          <w:lang w:val="en-US"/>
        </w:rPr>
        <w:t xml:space="preserve">Make sure you visit the region to really get the most out of the spirit of Beaujolais. </w:t>
      </w:r>
      <w:r>
        <w:rPr>
          <w:lang w:val="en-US"/>
        </w:rPr>
        <w:t xml:space="preserve">As you travel </w:t>
      </w:r>
      <w:r w:rsidRPr="00FC20A6">
        <w:rPr>
          <w:lang w:val="en-US"/>
        </w:rPr>
        <w:t>a</w:t>
      </w:r>
      <w:r w:rsidR="003B619F">
        <w:rPr>
          <w:lang w:val="en-US"/>
        </w:rPr>
        <w:t xml:space="preserve">long the Beaujolais Wine Route </w:t>
      </w:r>
      <w:r w:rsidRPr="00FC20A6">
        <w:rPr>
          <w:lang w:val="en-US"/>
        </w:rPr>
        <w:t>just north of Lyon, you will meet men and women whose personalities and life stories all differ, but who all live the same passion for the Beaujolais vineyard</w:t>
      </w:r>
      <w:r>
        <w:rPr>
          <w:lang w:val="en-US"/>
        </w:rPr>
        <w:t>.</w:t>
      </w:r>
    </w:p>
    <w:p w:rsidR="00CE5392" w:rsidRDefault="00CE5392" w:rsidP="00CE5392">
      <w:pPr>
        <w:ind w:firstLine="284"/>
        <w:jc w:val="both"/>
        <w:rPr>
          <w:lang w:val="en-US"/>
        </w:rPr>
      </w:pPr>
    </w:p>
    <w:p w:rsidR="00CE5392" w:rsidRDefault="00CE5392" w:rsidP="00CE5392">
      <w:pPr>
        <w:ind w:firstLine="284"/>
        <w:jc w:val="both"/>
        <w:rPr>
          <w:lang w:val="en-US"/>
        </w:rPr>
      </w:pPr>
      <w:r w:rsidRPr="00FC20A6">
        <w:rPr>
          <w:lang w:val="en-US"/>
        </w:rPr>
        <w:t>According to the winemakers who live and breathe Beaujolais, there are a few simple but important recommendations for getting the best of out the wines:</w:t>
      </w:r>
    </w:p>
    <w:p w:rsidR="00CE5392" w:rsidRDefault="00CE5392" w:rsidP="00CE5392">
      <w:pPr>
        <w:ind w:firstLine="284"/>
        <w:jc w:val="both"/>
        <w:rPr>
          <w:lang w:val="en-US"/>
        </w:rPr>
      </w:pPr>
    </w:p>
    <w:p w:rsidR="00CE5392" w:rsidRDefault="00CE5392" w:rsidP="00CE5392">
      <w:pPr>
        <w:ind w:firstLine="284"/>
        <w:jc w:val="both"/>
        <w:rPr>
          <w:lang w:val="en-US"/>
        </w:rPr>
      </w:pPr>
      <w:r w:rsidRPr="00FC20A6">
        <w:rPr>
          <w:lang w:val="en-US"/>
        </w:rPr>
        <w:t xml:space="preserve">Beaujolais and Beaujolais-Villages should be served lightly chilled at around 13/14°C. The Beaujolais </w:t>
      </w:r>
      <w:proofErr w:type="spellStart"/>
      <w:r w:rsidRPr="00FC20A6">
        <w:rPr>
          <w:lang w:val="en-US"/>
        </w:rPr>
        <w:t>Crus</w:t>
      </w:r>
      <w:proofErr w:type="spellEnd"/>
      <w:r w:rsidRPr="00FC20A6">
        <w:rPr>
          <w:lang w:val="en-US"/>
        </w:rPr>
        <w:t xml:space="preserve"> are suited to serving at an average of 16°C, which can be knocked down a degree or two for a youthful Cru, or a degree or two warmer for wines that have had around three to five years in the bottle.</w:t>
      </w:r>
    </w:p>
    <w:p w:rsidR="00CE5392" w:rsidRDefault="00CE5392" w:rsidP="00CE5392">
      <w:pPr>
        <w:ind w:firstLine="284"/>
        <w:jc w:val="both"/>
        <w:rPr>
          <w:lang w:val="en-US"/>
        </w:rPr>
      </w:pPr>
    </w:p>
    <w:p w:rsidR="00CE5392" w:rsidRDefault="00CE5392" w:rsidP="00CE5392">
      <w:pPr>
        <w:jc w:val="right"/>
        <w:rPr>
          <w:lang w:val="en-US"/>
        </w:rPr>
      </w:pPr>
      <w:r>
        <w:rPr>
          <w:lang w:val="en-US"/>
        </w:rPr>
        <w:t>Surrey Magazine Spring number</w:t>
      </w:r>
      <w:r w:rsidR="0069734E">
        <w:rPr>
          <w:lang w:val="en-US"/>
        </w:rPr>
        <w:t>,</w:t>
      </w:r>
      <w:r>
        <w:rPr>
          <w:lang w:val="en-US"/>
        </w:rPr>
        <w:t xml:space="preserve"> 2012</w:t>
      </w:r>
    </w:p>
    <w:p w:rsidR="00C540D1" w:rsidRDefault="00C540D1" w:rsidP="00027D1D">
      <w:pPr>
        <w:rPr>
          <w:sz w:val="20"/>
          <w:szCs w:val="20"/>
          <w:lang w:val="en-US"/>
        </w:rPr>
      </w:pPr>
    </w:p>
    <w:p w:rsidR="00994361" w:rsidRDefault="00994361" w:rsidP="00027D1D">
      <w:pPr>
        <w:rPr>
          <w:sz w:val="20"/>
          <w:szCs w:val="20"/>
          <w:lang w:val="en-US"/>
        </w:rPr>
      </w:pPr>
    </w:p>
    <w:p w:rsidR="00EA16F4" w:rsidRPr="00EA16F4" w:rsidRDefault="00EA16F4" w:rsidP="00027D1D">
      <w:pPr>
        <w:rPr>
          <w:sz w:val="20"/>
          <w:szCs w:val="20"/>
          <w:lang w:val="en-US"/>
        </w:rPr>
      </w:pPr>
    </w:p>
    <w:sectPr w:rsidR="00EA16F4" w:rsidRPr="00EA16F4" w:rsidSect="0011396B"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F4" w:rsidRDefault="00EA16F4">
      <w:r>
        <w:separator/>
      </w:r>
    </w:p>
  </w:endnote>
  <w:endnote w:type="continuationSeparator" w:id="0">
    <w:p w:rsidR="00EA16F4" w:rsidRDefault="00EA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3" w:type="dxa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26"/>
      <w:gridCol w:w="1505"/>
      <w:gridCol w:w="1655"/>
      <w:gridCol w:w="1584"/>
      <w:gridCol w:w="1651"/>
      <w:gridCol w:w="1782"/>
    </w:tblGrid>
    <w:tr w:rsidR="00EA16F4">
      <w:trPr>
        <w:trHeight w:val="372"/>
        <w:jc w:val="center"/>
      </w:trPr>
      <w:tc>
        <w:tcPr>
          <w:tcW w:w="9803" w:type="dxa"/>
          <w:gridSpan w:val="6"/>
          <w:vAlign w:val="center"/>
        </w:tcPr>
        <w:p w:rsidR="00EA16F4" w:rsidRDefault="00EA16F4" w:rsidP="00E651CD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ORAL SECTION EUROPÉENNE : ANGLAIS</w:t>
          </w:r>
        </w:p>
        <w:p w:rsidR="00EA16F4" w:rsidRDefault="00EA16F4" w:rsidP="00E651CD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HÔTELLERIE</w:t>
          </w:r>
        </w:p>
      </w:tc>
    </w:tr>
    <w:tr w:rsidR="00EA16F4">
      <w:trPr>
        <w:cantSplit/>
        <w:trHeight w:val="178"/>
        <w:jc w:val="center"/>
      </w:trPr>
      <w:tc>
        <w:tcPr>
          <w:tcW w:w="1626" w:type="dxa"/>
          <w:vAlign w:val="center"/>
        </w:tcPr>
        <w:p w:rsidR="00EA16F4" w:rsidRDefault="00EA16F4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</w:t>
          </w:r>
        </w:p>
      </w:tc>
      <w:tc>
        <w:tcPr>
          <w:tcW w:w="1505" w:type="dxa"/>
        </w:tcPr>
        <w:p w:rsidR="00EA16F4" w:rsidRDefault="00EA16F4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Sujet n° </w:t>
          </w:r>
        </w:p>
      </w:tc>
      <w:tc>
        <w:tcPr>
          <w:tcW w:w="1655" w:type="dxa"/>
          <w:vAlign w:val="center"/>
        </w:tcPr>
        <w:p w:rsidR="00EA16F4" w:rsidRDefault="00EA16F4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Préparation</w:t>
          </w:r>
        </w:p>
      </w:tc>
      <w:tc>
        <w:tcPr>
          <w:tcW w:w="1584" w:type="dxa"/>
          <w:vAlign w:val="center"/>
        </w:tcPr>
        <w:p w:rsidR="00EA16F4" w:rsidRDefault="00EA16F4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Durée</w:t>
          </w:r>
        </w:p>
      </w:tc>
      <w:tc>
        <w:tcPr>
          <w:tcW w:w="1651" w:type="dxa"/>
          <w:vAlign w:val="center"/>
        </w:tcPr>
        <w:p w:rsidR="00EA16F4" w:rsidRDefault="00EA16F4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Coefficient</w:t>
          </w:r>
        </w:p>
      </w:tc>
      <w:tc>
        <w:tcPr>
          <w:tcW w:w="1782" w:type="dxa"/>
          <w:vAlign w:val="center"/>
        </w:tcPr>
        <w:p w:rsidR="00EA16F4" w:rsidRDefault="00EA16F4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</w:p>
      </w:tc>
    </w:tr>
    <w:tr w:rsidR="00EA16F4">
      <w:trPr>
        <w:cantSplit/>
        <w:trHeight w:val="178"/>
        <w:jc w:val="center"/>
      </w:trPr>
      <w:tc>
        <w:tcPr>
          <w:tcW w:w="1626" w:type="dxa"/>
          <w:vAlign w:val="center"/>
        </w:tcPr>
        <w:p w:rsidR="00EA16F4" w:rsidRDefault="00CE5392" w:rsidP="00B867E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2013</w:t>
          </w:r>
        </w:p>
      </w:tc>
      <w:tc>
        <w:tcPr>
          <w:tcW w:w="1505" w:type="dxa"/>
        </w:tcPr>
        <w:p w:rsidR="00EA16F4" w:rsidRDefault="00EA16F4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  <w:tc>
        <w:tcPr>
          <w:tcW w:w="1655" w:type="dxa"/>
          <w:vAlign w:val="center"/>
        </w:tcPr>
        <w:p w:rsidR="00EA16F4" w:rsidRDefault="00EA16F4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0h20</w:t>
          </w:r>
        </w:p>
      </w:tc>
      <w:tc>
        <w:tcPr>
          <w:tcW w:w="1584" w:type="dxa"/>
          <w:vAlign w:val="center"/>
        </w:tcPr>
        <w:p w:rsidR="00EA16F4" w:rsidRDefault="00EA16F4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0h10</w:t>
          </w:r>
        </w:p>
      </w:tc>
      <w:tc>
        <w:tcPr>
          <w:tcW w:w="1651" w:type="dxa"/>
          <w:vAlign w:val="center"/>
        </w:tcPr>
        <w:p w:rsidR="00EA16F4" w:rsidRDefault="00EA16F4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  <w:tc>
        <w:tcPr>
          <w:tcW w:w="1782" w:type="dxa"/>
          <w:vAlign w:val="center"/>
        </w:tcPr>
        <w:p w:rsidR="00EA16F4" w:rsidRDefault="004E3397" w:rsidP="00E651CD">
          <w:pPr>
            <w:pStyle w:val="Pieddepage"/>
            <w:jc w:val="center"/>
            <w:rPr>
              <w:sz w:val="22"/>
            </w:rPr>
          </w:pPr>
          <w:r>
            <w:rPr>
              <w:sz w:val="20"/>
            </w:rPr>
            <w:fldChar w:fldCharType="begin"/>
          </w:r>
          <w:r w:rsidR="00EA16F4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69734E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 w:rsidR="00EA16F4">
            <w:rPr>
              <w:sz w:val="20"/>
            </w:rPr>
            <w:t xml:space="preserve"> sur </w:t>
          </w:r>
          <w:r>
            <w:rPr>
              <w:sz w:val="20"/>
            </w:rPr>
            <w:fldChar w:fldCharType="begin"/>
          </w:r>
          <w:r w:rsidR="00EA16F4"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69734E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EA16F4" w:rsidRPr="0011396B" w:rsidRDefault="00EA16F4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F4" w:rsidRDefault="00EA16F4">
      <w:r>
        <w:separator/>
      </w:r>
    </w:p>
  </w:footnote>
  <w:footnote w:type="continuationSeparator" w:id="0">
    <w:p w:rsidR="00EA16F4" w:rsidRDefault="00EA1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2CF6"/>
    <w:multiLevelType w:val="hybridMultilevel"/>
    <w:tmpl w:val="1A2A2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B424F5"/>
    <w:multiLevelType w:val="hybridMultilevel"/>
    <w:tmpl w:val="1DD2599A"/>
    <w:lvl w:ilvl="0" w:tplc="74A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F257F"/>
    <w:rsid w:val="0002565A"/>
    <w:rsid w:val="00027D1D"/>
    <w:rsid w:val="00041E01"/>
    <w:rsid w:val="000864D5"/>
    <w:rsid w:val="000B211A"/>
    <w:rsid w:val="000E2A7C"/>
    <w:rsid w:val="000F0086"/>
    <w:rsid w:val="0011396B"/>
    <w:rsid w:val="001302EF"/>
    <w:rsid w:val="001326AD"/>
    <w:rsid w:val="001368E5"/>
    <w:rsid w:val="00136AD5"/>
    <w:rsid w:val="001408AA"/>
    <w:rsid w:val="00153C20"/>
    <w:rsid w:val="001951E8"/>
    <w:rsid w:val="001A53F8"/>
    <w:rsid w:val="001E275C"/>
    <w:rsid w:val="002504A6"/>
    <w:rsid w:val="00251F18"/>
    <w:rsid w:val="00256B13"/>
    <w:rsid w:val="00296B9C"/>
    <w:rsid w:val="00297D10"/>
    <w:rsid w:val="002B4BCD"/>
    <w:rsid w:val="002B7D12"/>
    <w:rsid w:val="002F0F8C"/>
    <w:rsid w:val="002F5B27"/>
    <w:rsid w:val="00357881"/>
    <w:rsid w:val="0038276C"/>
    <w:rsid w:val="003B619F"/>
    <w:rsid w:val="00466A3A"/>
    <w:rsid w:val="00477D30"/>
    <w:rsid w:val="00485840"/>
    <w:rsid w:val="004A2F1C"/>
    <w:rsid w:val="004E1AD0"/>
    <w:rsid w:val="004E3397"/>
    <w:rsid w:val="00533C3D"/>
    <w:rsid w:val="00535E29"/>
    <w:rsid w:val="0056244C"/>
    <w:rsid w:val="00572024"/>
    <w:rsid w:val="00575F75"/>
    <w:rsid w:val="00583FA7"/>
    <w:rsid w:val="005A2C03"/>
    <w:rsid w:val="005C441F"/>
    <w:rsid w:val="00610AF8"/>
    <w:rsid w:val="006449ED"/>
    <w:rsid w:val="006754BB"/>
    <w:rsid w:val="00684C03"/>
    <w:rsid w:val="0069734E"/>
    <w:rsid w:val="006A70C9"/>
    <w:rsid w:val="007457F1"/>
    <w:rsid w:val="00746C52"/>
    <w:rsid w:val="007635AF"/>
    <w:rsid w:val="00781235"/>
    <w:rsid w:val="007833F6"/>
    <w:rsid w:val="00784C0E"/>
    <w:rsid w:val="008036C8"/>
    <w:rsid w:val="00813B97"/>
    <w:rsid w:val="0086210D"/>
    <w:rsid w:val="00866A61"/>
    <w:rsid w:val="008A3079"/>
    <w:rsid w:val="008A5D69"/>
    <w:rsid w:val="008C591F"/>
    <w:rsid w:val="008C69B8"/>
    <w:rsid w:val="008D5B62"/>
    <w:rsid w:val="00994361"/>
    <w:rsid w:val="009A26D9"/>
    <w:rsid w:val="009C097C"/>
    <w:rsid w:val="009C3416"/>
    <w:rsid w:val="009E0CE1"/>
    <w:rsid w:val="009F257F"/>
    <w:rsid w:val="00A47E07"/>
    <w:rsid w:val="00AD36E6"/>
    <w:rsid w:val="00AF48D9"/>
    <w:rsid w:val="00AF7C3D"/>
    <w:rsid w:val="00B01048"/>
    <w:rsid w:val="00B0652F"/>
    <w:rsid w:val="00B262CC"/>
    <w:rsid w:val="00B7071D"/>
    <w:rsid w:val="00B867ED"/>
    <w:rsid w:val="00BA614D"/>
    <w:rsid w:val="00BB536F"/>
    <w:rsid w:val="00BF419F"/>
    <w:rsid w:val="00C27987"/>
    <w:rsid w:val="00C4430D"/>
    <w:rsid w:val="00C540D1"/>
    <w:rsid w:val="00CC5167"/>
    <w:rsid w:val="00CE5392"/>
    <w:rsid w:val="00CF0E99"/>
    <w:rsid w:val="00D04B18"/>
    <w:rsid w:val="00D1059E"/>
    <w:rsid w:val="00D95C6E"/>
    <w:rsid w:val="00DA77E1"/>
    <w:rsid w:val="00DC32C0"/>
    <w:rsid w:val="00DD5B05"/>
    <w:rsid w:val="00DE2C63"/>
    <w:rsid w:val="00E10ADE"/>
    <w:rsid w:val="00E501C3"/>
    <w:rsid w:val="00E651CD"/>
    <w:rsid w:val="00E72A19"/>
    <w:rsid w:val="00E751B5"/>
    <w:rsid w:val="00E83133"/>
    <w:rsid w:val="00EA16F4"/>
    <w:rsid w:val="00EA3236"/>
    <w:rsid w:val="00EE52BD"/>
    <w:rsid w:val="00EF249F"/>
    <w:rsid w:val="00F13D98"/>
    <w:rsid w:val="00F64239"/>
    <w:rsid w:val="00F6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19F"/>
    <w:rPr>
      <w:sz w:val="24"/>
      <w:szCs w:val="24"/>
    </w:rPr>
  </w:style>
  <w:style w:type="paragraph" w:styleId="Titre1">
    <w:name w:val="heading 1"/>
    <w:basedOn w:val="Normal"/>
    <w:next w:val="Normal"/>
    <w:qFormat/>
    <w:rsid w:val="00BF419F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contenido10">
    <w:name w:val="textocontenido10"/>
    <w:basedOn w:val="Normal"/>
    <w:rsid w:val="00BF419F"/>
    <w:pPr>
      <w:spacing w:before="100" w:beforeAutospacing="1" w:after="100" w:afterAutospacing="1" w:line="259" w:lineRule="atLeast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rsid w:val="00BF419F"/>
    <w:pPr>
      <w:spacing w:before="100" w:beforeAutospacing="1" w:after="100" w:afterAutospacing="1"/>
    </w:pPr>
    <w:rPr>
      <w:color w:val="000000"/>
    </w:rPr>
  </w:style>
  <w:style w:type="character" w:styleId="lev">
    <w:name w:val="Strong"/>
    <w:basedOn w:val="Policepardfaut"/>
    <w:qFormat/>
    <w:rsid w:val="00BF419F"/>
    <w:rPr>
      <w:b/>
      <w:bCs/>
    </w:rPr>
  </w:style>
  <w:style w:type="paragraph" w:customStyle="1" w:styleId="textoapoyo1">
    <w:name w:val="textoapoyo1"/>
    <w:basedOn w:val="Normal"/>
    <w:rsid w:val="00BF419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rsid w:val="00BF419F"/>
    <w:rPr>
      <w:color w:val="0000FF"/>
      <w:u w:val="single"/>
    </w:rPr>
  </w:style>
  <w:style w:type="paragraph" w:styleId="Notedebasdepage">
    <w:name w:val="footnote text"/>
    <w:basedOn w:val="Normal"/>
    <w:semiHidden/>
    <w:rsid w:val="00BF419F"/>
    <w:rPr>
      <w:sz w:val="20"/>
      <w:szCs w:val="20"/>
    </w:rPr>
  </w:style>
  <w:style w:type="paragraph" w:styleId="En-tte">
    <w:name w:val="header"/>
    <w:basedOn w:val="Normal"/>
    <w:rsid w:val="00BF41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419F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sid w:val="00BF419F"/>
    <w:rPr>
      <w:vertAlign w:val="superscript"/>
    </w:rPr>
  </w:style>
  <w:style w:type="character" w:styleId="Accentuation">
    <w:name w:val="Emphasis"/>
    <w:basedOn w:val="Policepardfaut"/>
    <w:qFormat/>
    <w:rsid w:val="00B01048"/>
    <w:rPr>
      <w:i/>
      <w:iCs/>
    </w:rPr>
  </w:style>
  <w:style w:type="paragraph" w:styleId="Textedebulles">
    <w:name w:val="Balloon Text"/>
    <w:basedOn w:val="Normal"/>
    <w:semiHidden/>
    <w:rsid w:val="0061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2259</CharactersWithSpaces>
  <SharedDoc>false</SharedDoc>
  <HLinks>
    <vt:vector size="18" baseType="variant"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http://www.bbc.co.uk/news/world-11768231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http://www.lonelyplanet.com/france/paris/sights/architecture/cathedrale-notre-dame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http://www.lonelyplanet.com/france/paris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omi</cp:lastModifiedBy>
  <cp:revision>8</cp:revision>
  <cp:lastPrinted>2013-02-18T09:12:00Z</cp:lastPrinted>
  <dcterms:created xsi:type="dcterms:W3CDTF">2013-02-01T10:20:00Z</dcterms:created>
  <dcterms:modified xsi:type="dcterms:W3CDTF">2013-02-18T09:12:00Z</dcterms:modified>
</cp:coreProperties>
</file>